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9360"/>
      </w:tblGrid>
      <w:tr w:rsidR="00A7606E" w:rsidRPr="00A7606E" w:rsidTr="00A7606E">
        <w:trPr>
          <w:trHeight w:val="31680"/>
          <w:jc w:val="center"/>
        </w:trPr>
        <w:tc>
          <w:tcPr>
            <w:tcW w:w="13561" w:type="dxa"/>
            <w:hideMark/>
          </w:tcPr>
          <w:tbl>
            <w:tblPr>
              <w:tblW w:w="5000" w:type="pct"/>
              <w:jc w:val="center"/>
              <w:tblCellMar>
                <w:left w:w="0" w:type="dxa"/>
                <w:right w:w="0" w:type="dxa"/>
              </w:tblCellMar>
              <w:tblLook w:val="04A0"/>
            </w:tblPr>
            <w:tblGrid>
              <w:gridCol w:w="9360"/>
            </w:tblGrid>
            <w:tr w:rsidR="00A7606E" w:rsidRPr="00A7606E">
              <w:trPr>
                <w:jc w:val="center"/>
              </w:trPr>
              <w:tc>
                <w:tcPr>
                  <w:tcW w:w="0" w:type="auto"/>
                  <w:tcBorders>
                    <w:top w:val="nil"/>
                    <w:bottom w:val="nil"/>
                  </w:tcBorders>
                  <w:tcMar>
                    <w:top w:w="60" w:type="dxa"/>
                    <w:left w:w="0" w:type="dxa"/>
                    <w:bottom w:w="60" w:type="dxa"/>
                    <w:right w:w="0" w:type="dxa"/>
                  </w:tcMar>
                  <w:hideMark/>
                </w:tcPr>
                <w:tbl>
                  <w:tblPr>
                    <w:tblW w:w="9000" w:type="dxa"/>
                    <w:jc w:val="center"/>
                    <w:tblCellMar>
                      <w:left w:w="0" w:type="dxa"/>
                      <w:right w:w="0" w:type="dxa"/>
                    </w:tblCellMar>
                    <w:tblLook w:val="04A0"/>
                  </w:tblPr>
                  <w:tblGrid>
                    <w:gridCol w:w="9000"/>
                  </w:tblGrid>
                  <w:tr w:rsidR="00A7606E" w:rsidRPr="00A7606E">
                    <w:trPr>
                      <w:jc w:val="center"/>
                    </w:trPr>
                    <w:tc>
                      <w:tcPr>
                        <w:tcW w:w="0" w:type="auto"/>
                        <w:tcBorders>
                          <w:top w:val="nil"/>
                          <w:bottom w:val="nil"/>
                        </w:tcBorders>
                        <w:hideMark/>
                      </w:tcPr>
                      <w:tbl>
                        <w:tblPr>
                          <w:tblW w:w="5000" w:type="pct"/>
                          <w:tblCellMar>
                            <w:left w:w="0" w:type="dxa"/>
                            <w:right w:w="0" w:type="dxa"/>
                          </w:tblCellMar>
                          <w:tblLook w:val="04A0"/>
                        </w:tblPr>
                        <w:tblGrid>
                          <w:gridCol w:w="900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3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drawing>
                                        <wp:inline distT="0" distB="0" distL="0" distR="0">
                                          <wp:extent cx="3868420" cy="1524000"/>
                                          <wp:effectExtent l="0" t="0" r="0" b="0"/>
                                          <wp:docPr id="2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8420" cy="1524000"/>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shd w:val="clear" w:color="auto" w:fill="FFFFFF"/>
                          <w:tblCellMar>
                            <w:left w:w="0" w:type="dxa"/>
                            <w:right w:w="0" w:type="dxa"/>
                          </w:tblCellMar>
                          <w:tblLook w:val="04A0"/>
                        </w:tblPr>
                        <w:tblGrid>
                          <w:gridCol w:w="9000"/>
                        </w:tblGrid>
                        <w:tr w:rsidR="00A7606E" w:rsidRPr="00A7606E">
                          <w:tc>
                            <w:tcPr>
                              <w:tcW w:w="0" w:type="auto"/>
                              <w:shd w:val="clear" w:color="auto" w:fill="FFFFFF"/>
                              <w:tcMar>
                                <w:top w:w="270" w:type="dxa"/>
                                <w:left w:w="270" w:type="dxa"/>
                                <w:bottom w:w="270" w:type="dxa"/>
                                <w:right w:w="270" w:type="dxa"/>
                              </w:tcMar>
                              <w:vAlign w:val="center"/>
                              <w:hideMark/>
                            </w:tcPr>
                            <w:tbl>
                              <w:tblPr>
                                <w:tblW w:w="5000" w:type="pct"/>
                                <w:tblBorders>
                                  <w:top w:val="dotted" w:sz="12" w:space="0" w:color="EAEAEA"/>
                                </w:tblBorders>
                                <w:tblCellMar>
                                  <w:left w:w="0" w:type="dxa"/>
                                  <w:right w:w="0" w:type="dxa"/>
                                </w:tblCellMar>
                                <w:tblLook w:val="04A0"/>
                              </w:tblPr>
                              <w:tblGrid>
                                <w:gridCol w:w="846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00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135" w:type="dxa"/>
                                      <w:left w:w="270" w:type="dxa"/>
                                      <w:bottom w:w="135" w:type="dxa"/>
                                      <w:right w:w="270" w:type="dxa"/>
                                    </w:tcMar>
                                    <w:vAlign w:val="center"/>
                                    <w:hideMark/>
                                  </w:tcPr>
                                  <w:tbl>
                                    <w:tblPr>
                                      <w:tblW w:w="5000" w:type="pct"/>
                                      <w:tblBorders>
                                        <w:top w:val="dotted" w:sz="6" w:space="0" w:color="0E39E7"/>
                                        <w:left w:val="dotted" w:sz="6" w:space="0" w:color="0E39E7"/>
                                        <w:bottom w:val="dotted" w:sz="6" w:space="0" w:color="0E39E7"/>
                                        <w:right w:val="dotted" w:sz="6" w:space="0" w:color="0E39E7"/>
                                      </w:tblBorders>
                                      <w:shd w:val="clear" w:color="auto" w:fill="C2DCF5"/>
                                      <w:tblCellMar>
                                        <w:top w:w="15" w:type="dxa"/>
                                        <w:left w:w="15" w:type="dxa"/>
                                        <w:bottom w:w="15" w:type="dxa"/>
                                        <w:right w:w="15" w:type="dxa"/>
                                      </w:tblCellMar>
                                      <w:tblLook w:val="04A0"/>
                                    </w:tblPr>
                                    <w:tblGrid>
                                      <w:gridCol w:w="8444"/>
                                    </w:tblGrid>
                                    <w:tr w:rsidR="00A7606E" w:rsidRPr="00A7606E">
                                      <w:tc>
                                        <w:tcPr>
                                          <w:tcW w:w="0" w:type="auto"/>
                                          <w:shd w:val="clear" w:color="auto" w:fill="C2DCF5"/>
                                          <w:tcMar>
                                            <w:top w:w="270" w:type="dxa"/>
                                            <w:left w:w="270" w:type="dxa"/>
                                            <w:bottom w:w="270" w:type="dxa"/>
                                            <w:right w:w="270" w:type="dxa"/>
                                          </w:tcMar>
                                          <w:hideMark/>
                                        </w:tcPr>
                                        <w:p w:rsidR="00A7606E" w:rsidRPr="00A7606E" w:rsidRDefault="00A7606E" w:rsidP="00A7606E">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b/>
                                              <w:bCs/>
                                              <w:color w:val="222222"/>
                                              <w:kern w:val="0"/>
                                              <w:sz w:val="32"/>
                                              <w:szCs w:val="32"/>
                                              <w:lang w:eastAsia="en-AU"/>
                                            </w:rPr>
                                            <w:t>Latest releases from the</w:t>
                                          </w:r>
                                          <w:r w:rsidRPr="00A7606E">
                                            <w:rPr>
                                              <w:rFonts w:ascii="Arial" w:eastAsia="Times New Roman" w:hAnsi="Arial" w:cs="Arial"/>
                                              <w:b/>
                                              <w:bCs/>
                                              <w:color w:val="222222"/>
                                              <w:kern w:val="0"/>
                                              <w:sz w:val="32"/>
                                              <w:szCs w:val="32"/>
                                              <w:lang w:eastAsia="en-AU"/>
                                            </w:rPr>
                                            <w:br/>
                                            <w:t>Summit of the Future Information Clearinghouse</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r w:rsidR="00A7606E" w:rsidRPr="00A7606E">
              <w:trPr>
                <w:jc w:val="center"/>
              </w:trPr>
              <w:tc>
                <w:tcPr>
                  <w:tcW w:w="0" w:type="auto"/>
                  <w:tcBorders>
                    <w:top w:val="nil"/>
                    <w:bottom w:val="nil"/>
                  </w:tcBorders>
                  <w:hideMark/>
                </w:tcPr>
                <w:tbl>
                  <w:tblPr>
                    <w:tblW w:w="9000" w:type="dxa"/>
                    <w:jc w:val="center"/>
                    <w:tblCellMar>
                      <w:left w:w="0" w:type="dxa"/>
                      <w:right w:w="0" w:type="dxa"/>
                    </w:tblCellMar>
                    <w:tblLook w:val="04A0"/>
                  </w:tblPr>
                  <w:tblGrid>
                    <w:gridCol w:w="9270"/>
                  </w:tblGrid>
                  <w:tr w:rsidR="00A7606E" w:rsidRPr="00A7606E">
                    <w:trPr>
                      <w:jc w:val="center"/>
                    </w:trPr>
                    <w:tc>
                      <w:tcPr>
                        <w:tcW w:w="0" w:type="auto"/>
                        <w:tcBorders>
                          <w:top w:val="nil"/>
                          <w:bottom w:val="nil"/>
                        </w:tcBorders>
                        <w:hideMark/>
                      </w:tcPr>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FFFFF"/>
                                      <w:tblCellMar>
                                        <w:top w:w="15" w:type="dxa"/>
                                        <w:left w:w="15" w:type="dxa"/>
                                        <w:bottom w:w="15" w:type="dxa"/>
                                        <w:right w:w="15" w:type="dxa"/>
                                      </w:tblCellMar>
                                      <w:tblLook w:val="04A0"/>
                                    </w:tblPr>
                                    <w:tblGrid>
                                      <w:gridCol w:w="8730"/>
                                    </w:tblGrid>
                                    <w:tr w:rsidR="00A7606E" w:rsidRPr="00A7606E">
                                      <w:tc>
                                        <w:tcPr>
                                          <w:tcW w:w="0" w:type="auto"/>
                                          <w:shd w:val="clear" w:color="auto" w:fill="FFFFFF"/>
                                          <w:tcMar>
                                            <w:top w:w="270" w:type="dxa"/>
                                            <w:left w:w="270" w:type="dxa"/>
                                            <w:bottom w:w="270" w:type="dxa"/>
                                            <w:right w:w="270" w:type="dxa"/>
                                          </w:tcMar>
                                          <w:hideMark/>
                                        </w:tcPr>
                                        <w:p w:rsidR="00A7606E" w:rsidRPr="00A7606E" w:rsidRDefault="00A7606E" w:rsidP="00A7606E">
                                          <w:pPr>
                                            <w:spacing w:after="0" w:line="420" w:lineRule="atLeast"/>
                                            <w:jc w:val="both"/>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t>The </w:t>
                                          </w:r>
                                          <w:hyperlink r:id="rId5" w:tgtFrame="_blank" w:history="1">
                                            <w:r w:rsidRPr="00A7606E">
                                              <w:rPr>
                                                <w:rFonts w:ascii="Arial" w:eastAsia="Times New Roman" w:hAnsi="Arial" w:cs="Arial"/>
                                                <w:color w:val="007C89"/>
                                                <w:kern w:val="0"/>
                                                <w:sz w:val="26"/>
                                                <w:szCs w:val="26"/>
                                                <w:u w:val="single"/>
                                                <w:lang w:eastAsia="en-AU"/>
                                              </w:rPr>
                                              <w:t>Information Clearinghouse (ICH)</w:t>
                                            </w:r>
                                          </w:hyperlink>
                                          <w:r w:rsidRPr="00A7606E">
                                            <w:rPr>
                                              <w:rFonts w:ascii="Arial" w:eastAsia="Times New Roman" w:hAnsi="Arial" w:cs="Arial"/>
                                              <w:color w:val="222222"/>
                                              <w:kern w:val="0"/>
                                              <w:sz w:val="26"/>
                                              <w:szCs w:val="26"/>
                                              <w:lang w:eastAsia="en-AU"/>
                                            </w:rPr>
                                            <w:t> program provides objective monitoring and reporting of the intergovernmental negotiations and processes leading to the September 2024 Summit of the Future.</w:t>
                                          </w:r>
                                          <w:r w:rsidRPr="00A7606E">
                                            <w:rPr>
                                              <w:rFonts w:ascii="Helvetica" w:eastAsia="Times New Roman" w:hAnsi="Helvetica" w:cs="Helvetica"/>
                                              <w:color w:val="222222"/>
                                              <w:kern w:val="0"/>
                                              <w:sz w:val="26"/>
                                              <w:szCs w:val="26"/>
                                              <w:lang w:eastAsia="en-AU"/>
                                            </w:rPr>
                                            <w:br/>
                                          </w:r>
                                          <w:r w:rsidRPr="00A7606E">
                                            <w:rPr>
                                              <w:rFonts w:ascii="Helvetica" w:eastAsia="Times New Roman" w:hAnsi="Helvetica" w:cs="Helvetica"/>
                                              <w:color w:val="222222"/>
                                              <w:kern w:val="0"/>
                                              <w:sz w:val="26"/>
                                              <w:szCs w:val="26"/>
                                              <w:lang w:eastAsia="en-AU"/>
                                            </w:rPr>
                                            <w:br/>
                                          </w:r>
                                          <w:r w:rsidRPr="00A7606E">
                                            <w:rPr>
                                              <w:rFonts w:ascii="Arial" w:eastAsia="Times New Roman" w:hAnsi="Arial" w:cs="Arial"/>
                                              <w:color w:val="222222"/>
                                              <w:kern w:val="0"/>
                                              <w:sz w:val="26"/>
                                              <w:szCs w:val="26"/>
                                              <w:lang w:eastAsia="en-AU"/>
                                            </w:rPr>
                                            <w:t>ICH Bulletins summarize member state negotiations for the three main outputs of the Summit - the Pact for the Future and its two annexes, the Global Digital Compact, and a Declaration on Future Generations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Zero Draft of the Pact for the Future was released on 26 January 2024, and Rev. 1, Rev. 2, and Rev. 3 were subsequently released on 14 May, 17 July, and 27 August, respectively. Get the latest ICH analysis on the changes made in Rev. 3 below.</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10" w:type="dxa"/>
                                <w:left w:w="270" w:type="dxa"/>
                                <w:bottom w:w="210" w:type="dxa"/>
                                <w:right w:w="270" w:type="dxa"/>
                              </w:tcMar>
                              <w:vAlign w:val="center"/>
                              <w:hideMark/>
                            </w:tcPr>
                            <w:tbl>
                              <w:tblPr>
                                <w:tblW w:w="5000" w:type="pct"/>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lastRenderedPageBreak/>
                                      <w:drawing>
                                        <wp:inline distT="0" distB="0" distL="0" distR="0">
                                          <wp:extent cx="5368925" cy="1558925"/>
                                          <wp:effectExtent l="0" t="0" r="3175" b="3175"/>
                                          <wp:docPr id="2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A7606E">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t>The Chapeau frames the Pact for the Future and contains language on the reaffirmation of international law, the UN Charter, the Universal Declaration of Human Rights, three pillars of the UN, and the 2030 Agenda. How has it differed from Rev. 2?</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language of the Chapeau has been strengthened with more action-oriented climate change-related paragraphs, the addition of language on the peaceful resolution of disputes, refraining from the threat or use of force or acts of aggression, respecting each other’s sovereignty and territorial integrity, upholding the principles of political independence and self-determination, and respecting, protecting, promoting and fulfilling the enjoyment of human rights, fundamental freedoms, and dignity. There has also been the addition of a new paragraph on reducing inequalities. </w:t>
                                          </w:r>
                                          <w:r w:rsidRPr="00A7606E">
                                            <w:rPr>
                                              <w:rFonts w:ascii="Arial" w:eastAsia="Times New Roman" w:hAnsi="Arial" w:cs="Arial"/>
                                              <w:color w:val="222222"/>
                                              <w:kern w:val="0"/>
                                              <w:sz w:val="26"/>
                                              <w:szCs w:val="26"/>
                                              <w:lang w:eastAsia="en-AU"/>
                                            </w:rPr>
                                            <w:br/>
                                            <w:t> </w:t>
                                          </w:r>
                                          <w:r w:rsidRPr="00A7606E">
                                            <w:rPr>
                                              <w:rFonts w:ascii="Arial" w:eastAsia="Times New Roman" w:hAnsi="Arial" w:cs="Arial"/>
                                              <w:color w:val="222222"/>
                                              <w:kern w:val="0"/>
                                              <w:sz w:val="26"/>
                                              <w:szCs w:val="26"/>
                                              <w:lang w:eastAsia="en-AU"/>
                                            </w:rPr>
                                            <w:br/>
                                            <w:t>Get the latest updates on the negotiations of the Chapeau in the following ICH bulletin.</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7"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lastRenderedPageBreak/>
                                      <w:drawing>
                                        <wp:inline distT="0" distB="0" distL="0" distR="0">
                                          <wp:extent cx="5368925" cy="1558925"/>
                                          <wp:effectExtent l="0" t="0" r="3175" b="3175"/>
                                          <wp:docPr id="2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975EF7">
                                          <w:pPr>
                                            <w:spacing w:after="0" w:line="420" w:lineRule="atLeast"/>
                                            <w:rPr>
                                              <w:rFonts w:ascii="Helvetica" w:eastAsia="Times New Roman" w:hAnsi="Helvetica" w:cs="Helvetica"/>
                                              <w:color w:val="222222"/>
                                              <w:kern w:val="0"/>
                                              <w:sz w:val="21"/>
                                              <w:szCs w:val="21"/>
                                              <w:lang w:eastAsia="en-AU"/>
                                            </w:rPr>
                                          </w:pPr>
                                          <w:r w:rsidRPr="00A7606E">
                                            <w:rPr>
                                              <w:rFonts w:ascii="Helvetica" w:eastAsia="Times New Roman" w:hAnsi="Helvetica" w:cs="Helvetica"/>
                                              <w:color w:val="222222"/>
                                              <w:kern w:val="0"/>
                                              <w:sz w:val="26"/>
                                              <w:szCs w:val="26"/>
                                              <w:lang w:eastAsia="en-AU"/>
                                            </w:rPr>
                                            <w:t>Chapter 1 of Rev. 3 features more explicit references to developing countries, including African Countries, least developed countries, landlocked developing countries, small island developing States, as well as those with specific challenges, including Middle-Income countries and countries in conflict and post-conflict situations.</w:t>
                                          </w:r>
                                          <w:r w:rsidRPr="00A7606E">
                                            <w:rPr>
                                              <w:rFonts w:ascii="Helvetica" w:eastAsia="Times New Roman" w:hAnsi="Helvetica" w:cs="Helvetica"/>
                                              <w:color w:val="222222"/>
                                              <w:kern w:val="0"/>
                                              <w:sz w:val="26"/>
                                              <w:szCs w:val="26"/>
                                              <w:lang w:eastAsia="en-AU"/>
                                            </w:rPr>
                                            <w:br/>
                                          </w:r>
                                          <w:r w:rsidRPr="00A7606E">
                                            <w:rPr>
                                              <w:rFonts w:ascii="Helvetica" w:eastAsia="Times New Roman" w:hAnsi="Helvetica" w:cs="Helvetica"/>
                                              <w:color w:val="222222"/>
                                              <w:kern w:val="0"/>
                                              <w:sz w:val="26"/>
                                              <w:szCs w:val="26"/>
                                              <w:lang w:eastAsia="en-AU"/>
                                            </w:rPr>
                                            <w:br/>
                                            <w:t>There is also stronger language on social protection systems, ending malnutrition, innovative finance mechanisms and partnerships, energy, women's equal rights to economic resources, adaptation finance, and the role of the High-Level Political Forum (HLPF). However, the chapter has been heavily caveated, and there has been the deletion of language on disaster risk-informed approaches and tax avoidance. </w:t>
                                          </w:r>
                                          <w:r w:rsidRPr="00A7606E">
                                            <w:rPr>
                                              <w:rFonts w:ascii="Helvetica" w:eastAsia="Times New Roman" w:hAnsi="Helvetica" w:cs="Helvetica"/>
                                              <w:color w:val="222222"/>
                                              <w:kern w:val="0"/>
                                              <w:sz w:val="26"/>
                                              <w:szCs w:val="26"/>
                                              <w:lang w:eastAsia="en-AU"/>
                                            </w:rPr>
                                            <w:br/>
                                            <w:t> </w:t>
                                          </w:r>
                                          <w:r w:rsidRPr="00A7606E">
                                            <w:rPr>
                                              <w:rFonts w:ascii="Helvetica" w:eastAsia="Times New Roman" w:hAnsi="Helvetica" w:cs="Helvetica"/>
                                              <w:color w:val="222222"/>
                                              <w:kern w:val="0"/>
                                              <w:sz w:val="26"/>
                                              <w:szCs w:val="26"/>
                                              <w:lang w:eastAsia="en-AU"/>
                                            </w:rPr>
                                            <w:br/>
                                            <w:t>Get the latest updates on the negotiations of Chapter 1 in the following ICH bulletin.</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9"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lastRenderedPageBreak/>
                                      <w:drawing>
                                        <wp:inline distT="0" distB="0" distL="0" distR="0">
                                          <wp:extent cx="5368925" cy="1558925"/>
                                          <wp:effectExtent l="0" t="0" r="3175" b="3175"/>
                                          <wp:docPr id="3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975EF7">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t>Rev. 3 has broadly retained much of the language from Rev. 2, potentially indicating consensus. However, it has dropped “medical personnel” among the list of those protected in conflict and the language on an instrument on maritime security and safety.</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Rev. 3 requests the SG to conduct an independent progress study on youth’s positive contribution to peace processes and conflict resolution. Famine-like conditions have been added and national ownership has been given stronger emphasis in the Rev. 3.</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Find all the major changes made in Rev. 3 in the following ICH Bulletin.</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11"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drawing>
                                        <wp:inline distT="0" distB="0" distL="0" distR="0">
                                          <wp:extent cx="5368925" cy="1558925"/>
                                          <wp:effectExtent l="0" t="0" r="3175" b="3175"/>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975EF7">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lastRenderedPageBreak/>
                                            <w:t>Rev. 3 emphasizes global cooperation, inclusivity, and tailored strategies by underscoring the global scale of challenges and promoting the sharing of science, technology, and innovation. It strengthens links between these advancements and human rights, sustainable development, and climate action while simplifying collaboration terminology.</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revision also expands support for developing countries, respects indigenous peoples addresses the vulnerabilities of women migrant workers, and highlights the importance of planning and foresight, making Rev. 3 a more comprehensive and adaptable strategy. </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Stay updated on the latest negotiations on Chapter 3 in the following ICH bulletin.</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13"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drawing>
                                        <wp:inline distT="0" distB="0" distL="0" distR="0">
                                          <wp:extent cx="5368925" cy="1558925"/>
                                          <wp:effectExtent l="0" t="0" r="3175" b="3175"/>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975EF7">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t xml:space="preserve">This bulletin provides a focused analysis of Chapter 4, highlighting the differences between Rev. 2 and Rev. 3. The transition from Rev. 2 to Rev. 3 introduces clarifications and expansions regarding the rights </w:t>
                                          </w:r>
                                          <w:r w:rsidRPr="00A7606E">
                                            <w:rPr>
                                              <w:rFonts w:ascii="Arial" w:eastAsia="Times New Roman" w:hAnsi="Arial" w:cs="Arial"/>
                                              <w:color w:val="222222"/>
                                              <w:kern w:val="0"/>
                                              <w:sz w:val="26"/>
                                              <w:szCs w:val="26"/>
                                              <w:lang w:eastAsia="en-AU"/>
                                            </w:rPr>
                                            <w:lastRenderedPageBreak/>
                                            <w:t>and opportunities for children and youth, particularly emphasizing their fundamental rights and distinct status from future generations.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Rev. 3 also broadens the definition of essential services, ensures a focus on achieving universal health coverage, and specifies the inclusion of Afro-descendent populations.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Additionally, the language has been adjusted to promote engagement rather than mandate action, providing greater clarity on compliance with national legislation in decision-making processes.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Importantly, Rev. 3 strongly emphasizes geographical diversity in youth representation from developing countries. Collectively, these changes enhance the commitments to rights protection and inclusive opportunities for young people, adopting a comprehensive and nuanced approach to their needs and roles in policymaking.</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For a deeper understanding of these changes, please delve into this bulletin.  </w:t>
                                          </w:r>
                                        </w:p>
                                      </w:tc>
                                    </w:tr>
                                  </w:tbl>
                                  <w:p w:rsidR="00A7606E" w:rsidRPr="00A7606E" w:rsidRDefault="00A7606E" w:rsidP="00975EF7">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975EF7">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15"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drawing>
                                        <wp:inline distT="0" distB="0" distL="0" distR="0">
                                          <wp:extent cx="5368925" cy="1558925"/>
                                          <wp:effectExtent l="0" t="0" r="3175" b="3175"/>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A7606E">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lastRenderedPageBreak/>
                                            <w:t>Chapter 5 of Rev. 3 notably features three new action items on reform of the UN Security Council, the language of which was negotiated in the parallel Intergovernmental Negotiations (IGN) process.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Chapter 5 contains stronger language on encouraging delegations to nominate women candidates for the next appointment of the UN Secretary-General, stakeholder engagement for the review of the Peacebuilding Commission, biodiversity loss, enhancing synergies, cooperation or collaboration to implement existing environmental multilateral agreements, and encouraging the Committee on the Peaceful Uses of Outer Space to further consult on the proposal to hold a fourth United Nations Conference on the Peaceful Exploration of Outer Space (UNISPACE IV) in 2027.</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However, the language has been weakened in several areas, including the deletion of references to human rights defenders and references to multilingualism, gender parity, and balanced geographic representation, as well as weaker operative language on actions pertaining to international financial institutions and UN 2.0. </w:t>
                                          </w:r>
                                          <w:r w:rsidRPr="00A7606E">
                                            <w:rPr>
                                              <w:rFonts w:ascii="Arial" w:eastAsia="Times New Roman" w:hAnsi="Arial" w:cs="Arial"/>
                                              <w:color w:val="222222"/>
                                              <w:kern w:val="0"/>
                                              <w:sz w:val="26"/>
                                              <w:szCs w:val="26"/>
                                              <w:lang w:eastAsia="en-AU"/>
                                            </w:rPr>
                                            <w:br/>
                                            <w:t> </w:t>
                                          </w:r>
                                          <w:r w:rsidRPr="00A7606E">
                                            <w:rPr>
                                              <w:rFonts w:ascii="Arial" w:eastAsia="Times New Roman" w:hAnsi="Arial" w:cs="Arial"/>
                                              <w:color w:val="222222"/>
                                              <w:kern w:val="0"/>
                                              <w:sz w:val="26"/>
                                              <w:szCs w:val="26"/>
                                              <w:lang w:eastAsia="en-AU"/>
                                            </w:rPr>
                                            <w:br/>
                                            <w:t>Get the latest updates on the negotiations of Chapter 5 in the following ICH bulletin.</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17"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Borders>
                                  <w:top w:val="single" w:sz="12" w:space="0" w:color="959DF7"/>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lastRenderedPageBreak/>
                                      <w:drawing>
                                        <wp:inline distT="0" distB="0" distL="0" distR="0">
                                          <wp:extent cx="5368925" cy="1558925"/>
                                          <wp:effectExtent l="0" t="0" r="3175" b="3175"/>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1558925"/>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tbl>
                              <w:tblPr>
                                <w:tblpPr w:leftFromText="45" w:rightFromText="45" w:vertAnchor="text"/>
                                <w:tblW w:w="5000" w:type="pct"/>
                                <w:tblCellMar>
                                  <w:left w:w="0" w:type="dxa"/>
                                  <w:right w:w="0" w:type="dxa"/>
                                </w:tblCellMar>
                                <w:tblLook w:val="04A0"/>
                              </w:tblPr>
                              <w:tblGrid>
                                <w:gridCol w:w="9270"/>
                              </w:tblGrid>
                              <w:tr w:rsidR="00A7606E" w:rsidRPr="00A7606E">
                                <w:tc>
                                  <w:tcPr>
                                    <w:tcW w:w="0" w:type="auto"/>
                                    <w:tcMar>
                                      <w:top w:w="135" w:type="dxa"/>
                                      <w:left w:w="270" w:type="dxa"/>
                                      <w:bottom w:w="135" w:type="dxa"/>
                                      <w:right w:w="270" w:type="dxa"/>
                                    </w:tcMar>
                                    <w:vAlign w:val="center"/>
                                    <w:hideMark/>
                                  </w:tcPr>
                                  <w:tbl>
                                    <w:tblPr>
                                      <w:tblW w:w="5000" w:type="pct"/>
                                      <w:shd w:val="clear" w:color="auto" w:fill="F8F8F8"/>
                                      <w:tblCellMar>
                                        <w:top w:w="15" w:type="dxa"/>
                                        <w:left w:w="15" w:type="dxa"/>
                                        <w:bottom w:w="15" w:type="dxa"/>
                                        <w:right w:w="15" w:type="dxa"/>
                                      </w:tblCellMar>
                                      <w:tblLook w:val="04A0"/>
                                    </w:tblPr>
                                    <w:tblGrid>
                                      <w:gridCol w:w="8730"/>
                                    </w:tblGrid>
                                    <w:tr w:rsidR="00A7606E" w:rsidRPr="00A7606E">
                                      <w:tc>
                                        <w:tcPr>
                                          <w:tcW w:w="0" w:type="auto"/>
                                          <w:shd w:val="clear" w:color="auto" w:fill="F8F8F8"/>
                                          <w:tcMar>
                                            <w:top w:w="270" w:type="dxa"/>
                                            <w:left w:w="270" w:type="dxa"/>
                                            <w:bottom w:w="270" w:type="dxa"/>
                                            <w:right w:w="270" w:type="dxa"/>
                                          </w:tcMar>
                                          <w:hideMark/>
                                        </w:tcPr>
                                        <w:p w:rsidR="00A7606E" w:rsidRPr="00A7606E" w:rsidRDefault="00A7606E" w:rsidP="00A7606E">
                                          <w:pPr>
                                            <w:spacing w:after="0" w:line="420" w:lineRule="atLeast"/>
                                            <w:rPr>
                                              <w:rFonts w:ascii="Helvetica" w:eastAsia="Times New Roman" w:hAnsi="Helvetica" w:cs="Helvetica"/>
                                              <w:color w:val="222222"/>
                                              <w:kern w:val="0"/>
                                              <w:sz w:val="21"/>
                                              <w:szCs w:val="21"/>
                                              <w:lang w:eastAsia="en-AU"/>
                                            </w:rPr>
                                          </w:pPr>
                                          <w:r w:rsidRPr="00A7606E">
                                            <w:rPr>
                                              <w:rFonts w:ascii="Arial" w:eastAsia="Times New Roman" w:hAnsi="Arial" w:cs="Arial"/>
                                              <w:color w:val="222222"/>
                                              <w:kern w:val="0"/>
                                              <w:sz w:val="26"/>
                                              <w:szCs w:val="26"/>
                                              <w:lang w:eastAsia="en-AU"/>
                                            </w:rPr>
                                            <w:t>This bulletin compares Rev. 2 to Rev. 3 and identifies content changes, removals, and additions made in the third revision of the Global Digital Compact (GDC) document.</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recent revision introduces key updates. It emphasizes sustainable development and narrows the scope of digital cooperation by excluding military considerations. It shifts focus toward government responsibility, strengthens gender equality, and simplifies environmental commitments.</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The document also broadens its scope by addressing the entire lifecycle of technologies, enhancing support for developing countries, and expanding access to connectivity, especially for women and girls. Additionally, it narrows focus on AI governance, supports STEM education, and highlights mental health in digital content moderation.</w:t>
                                          </w:r>
                                          <w:r w:rsidRPr="00A7606E">
                                            <w:rPr>
                                              <w:rFonts w:ascii="Arial" w:eastAsia="Times New Roman" w:hAnsi="Arial" w:cs="Arial"/>
                                              <w:color w:val="222222"/>
                                              <w:kern w:val="0"/>
                                              <w:sz w:val="26"/>
                                              <w:szCs w:val="26"/>
                                              <w:lang w:eastAsia="en-AU"/>
                                            </w:rPr>
                                            <w:br/>
                                          </w:r>
                                          <w:r w:rsidRPr="00A7606E">
                                            <w:rPr>
                                              <w:rFonts w:ascii="Arial" w:eastAsia="Times New Roman" w:hAnsi="Arial" w:cs="Arial"/>
                                              <w:color w:val="222222"/>
                                              <w:kern w:val="0"/>
                                              <w:sz w:val="26"/>
                                              <w:szCs w:val="26"/>
                                              <w:lang w:eastAsia="en-AU"/>
                                            </w:rPr>
                                            <w:br/>
                                            <w:t>Stay informed with the latest ICH Bulletin, highlighting all the revisions from Rev. 2 to Rev. 3 of the GDC.</w:t>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0" w:type="dxa"/>
                                <w:left w:w="270" w:type="dxa"/>
                                <w:bottom w:w="270" w:type="dxa"/>
                                <w:right w:w="270" w:type="dxa"/>
                              </w:tcMar>
                              <w:hideMark/>
                            </w:tcPr>
                            <w:tbl>
                              <w:tblPr>
                                <w:tblW w:w="0" w:type="auto"/>
                                <w:jc w:val="center"/>
                                <w:tblCellSpacing w:w="0" w:type="dxa"/>
                                <w:tblBorders>
                                  <w:top w:val="single" w:sz="6" w:space="0" w:color="auto"/>
                                  <w:left w:val="single" w:sz="6" w:space="0" w:color="auto"/>
                                  <w:bottom w:val="single" w:sz="6" w:space="0" w:color="auto"/>
                                  <w:right w:val="single" w:sz="6" w:space="0" w:color="auto"/>
                                </w:tblBorders>
                                <w:shd w:val="clear" w:color="auto" w:fill="4C4948"/>
                                <w:tblCellMar>
                                  <w:left w:w="0" w:type="dxa"/>
                                  <w:right w:w="0" w:type="dxa"/>
                                </w:tblCellMar>
                                <w:tblLook w:val="04A0"/>
                              </w:tblPr>
                              <w:tblGrid>
                                <w:gridCol w:w="1737"/>
                              </w:tblGrid>
                              <w:tr w:rsidR="00A7606E" w:rsidRPr="00A7606E">
                                <w:trPr>
                                  <w:tblCellSpacing w:w="0" w:type="dxa"/>
                                  <w:jc w:val="center"/>
                                </w:trPr>
                                <w:tc>
                                  <w:tcPr>
                                    <w:tcW w:w="0" w:type="auto"/>
                                    <w:shd w:val="clear" w:color="auto" w:fill="4C4948"/>
                                    <w:tcMar>
                                      <w:top w:w="120" w:type="dxa"/>
                                      <w:left w:w="120" w:type="dxa"/>
                                      <w:bottom w:w="120" w:type="dxa"/>
                                      <w:right w:w="120" w:type="dxa"/>
                                    </w:tcMar>
                                    <w:vAlign w:val="center"/>
                                    <w:hideMark/>
                                  </w:tcPr>
                                  <w:p w:rsidR="00A7606E" w:rsidRPr="00A7606E" w:rsidRDefault="00112F26" w:rsidP="00A7606E">
                                    <w:pPr>
                                      <w:spacing w:after="0" w:line="240" w:lineRule="auto"/>
                                      <w:rPr>
                                        <w:rFonts w:ascii="Arial" w:eastAsia="Times New Roman" w:hAnsi="Arial" w:cs="Arial"/>
                                        <w:kern w:val="0"/>
                                        <w:sz w:val="24"/>
                                        <w:szCs w:val="24"/>
                                        <w:lang w:eastAsia="en-AU"/>
                                      </w:rPr>
                                    </w:pPr>
                                    <w:hyperlink r:id="rId19" w:tgtFrame="_blank" w:tooltip="READ MORE" w:history="1">
                                      <w:r w:rsidR="00A7606E" w:rsidRPr="00A7606E">
                                        <w:rPr>
                                          <w:rFonts w:ascii="Arial" w:eastAsia="Times New Roman" w:hAnsi="Arial" w:cs="Arial"/>
                                          <w:b/>
                                          <w:bCs/>
                                          <w:color w:val="FFFFFF"/>
                                          <w:kern w:val="0"/>
                                          <w:sz w:val="24"/>
                                          <w:szCs w:val="24"/>
                                          <w:lang w:eastAsia="en-AU"/>
                                        </w:rPr>
                                        <w:t>READ MORE</w:t>
                                      </w:r>
                                    </w:hyperlink>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80" w:type="dxa"/>
                                <w:left w:w="270" w:type="dxa"/>
                                <w:bottom w:w="180" w:type="dxa"/>
                                <w:right w:w="270" w:type="dxa"/>
                              </w:tcMar>
                              <w:vAlign w:val="center"/>
                              <w:hideMark/>
                            </w:tcPr>
                            <w:tbl>
                              <w:tblPr>
                                <w:tblW w:w="5000" w:type="pct"/>
                                <w:tblBorders>
                                  <w:top w:val="single" w:sz="6" w:space="0" w:color="505050"/>
                                </w:tblBorders>
                                <w:tblCellMar>
                                  <w:left w:w="0" w:type="dxa"/>
                                  <w:right w:w="0" w:type="dxa"/>
                                </w:tblCellMar>
                                <w:tblLook w:val="04A0"/>
                              </w:tblPr>
                              <w:tblGrid>
                                <w:gridCol w:w="8730"/>
                              </w:tblGrid>
                              <w:tr w:rsidR="00A7606E" w:rsidRPr="00A7606E">
                                <w:tc>
                                  <w:tcPr>
                                    <w:tcW w:w="0" w:type="auto"/>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rsidTr="00A7606E">
                          <w:trPr>
                            <w:trHeight w:val="25"/>
                          </w:trPr>
                          <w:tc>
                            <w:tcPr>
                              <w:tcW w:w="0" w:type="auto"/>
                              <w:tcMar>
                                <w:top w:w="180" w:type="dxa"/>
                                <w:left w:w="270" w:type="dxa"/>
                                <w:bottom w:w="180" w:type="dxa"/>
                                <w:right w:w="270" w:type="dxa"/>
                              </w:tcMar>
                              <w:vAlign w:val="cente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r w:rsidRPr="00A7606E">
                                <w:rPr>
                                  <w:rFonts w:ascii="Times New Roman" w:eastAsia="Times New Roman" w:hAnsi="Times New Roman" w:cs="Times New Roman"/>
                                  <w:noProof/>
                                  <w:kern w:val="0"/>
                                  <w:sz w:val="24"/>
                                  <w:szCs w:val="24"/>
                                  <w:lang w:eastAsia="ko-KR"/>
                                </w:rPr>
                                <w:lastRenderedPageBreak/>
                                <w:drawing>
                                  <wp:inline distT="0" distB="0" distL="0" distR="0">
                                    <wp:extent cx="5368925" cy="715010"/>
                                    <wp:effectExtent l="0" t="0" r="3175" b="8890"/>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8925" cy="715010"/>
                                            </a:xfrm>
                                            <a:prstGeom prst="rect">
                                              <a:avLst/>
                                            </a:prstGeom>
                                            <a:noFill/>
                                            <a:ln>
                                              <a:noFill/>
                                            </a:ln>
                                          </pic:spPr>
                                        </pic:pic>
                                      </a:graphicData>
                                    </a:graphic>
                                  </wp:inline>
                                </w:drawing>
                              </w: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0" w:type="dxa"/>
                                <w:bottom w:w="0" w:type="dxa"/>
                                <w:right w:w="0"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tbl>
                        <w:tblPr>
                          <w:tblW w:w="5000" w:type="pct"/>
                          <w:tblCellMar>
                            <w:left w:w="0" w:type="dxa"/>
                            <w:right w:w="0" w:type="dxa"/>
                          </w:tblCellMar>
                          <w:tblLook w:val="04A0"/>
                        </w:tblPr>
                        <w:tblGrid>
                          <w:gridCol w:w="9270"/>
                        </w:tblGrid>
                        <w:tr w:rsidR="00A7606E" w:rsidRPr="00A760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000"/>
                              </w:tblGrid>
                              <w:tr w:rsidR="00A7606E" w:rsidRPr="00A7606E">
                                <w:tc>
                                  <w:tcPr>
                                    <w:tcW w:w="0" w:type="auto"/>
                                    <w:tcMar>
                                      <w:top w:w="0" w:type="dxa"/>
                                      <w:left w:w="135" w:type="dxa"/>
                                      <w:bottom w:w="0" w:type="dxa"/>
                                      <w:right w:w="135"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tbl>
                              <w:tblPr>
                                <w:tblpPr w:leftFromText="45" w:rightFromText="45" w:vertAnchor="text" w:horzAnchor="margin" w:tblpY="-493"/>
                                <w:tblOverlap w:val="never"/>
                                <w:tblW w:w="9000" w:type="dxa"/>
                                <w:tblCellMar>
                                  <w:left w:w="0" w:type="dxa"/>
                                  <w:right w:w="0" w:type="dxa"/>
                                </w:tblCellMar>
                                <w:tblLook w:val="04A0"/>
                              </w:tblPr>
                              <w:tblGrid>
                                <w:gridCol w:w="9000"/>
                              </w:tblGrid>
                              <w:tr w:rsidR="00A7606E" w:rsidRPr="00A7606E" w:rsidTr="00A7606E">
                                <w:tc>
                                  <w:tcPr>
                                    <w:tcW w:w="0" w:type="auto"/>
                                    <w:tcMar>
                                      <w:top w:w="0" w:type="dxa"/>
                                      <w:left w:w="270" w:type="dxa"/>
                                      <w:bottom w:w="135" w:type="dxa"/>
                                      <w:right w:w="270" w:type="dxa"/>
                                    </w:tcMar>
                                    <w:hideMark/>
                                  </w:tcPr>
                                  <w:p w:rsidR="00A7606E" w:rsidRDefault="00A7606E" w:rsidP="00A7606E">
                                    <w:pPr>
                                      <w:spacing w:after="0" w:line="270" w:lineRule="atLeast"/>
                                      <w:rPr>
                                        <w:rFonts w:ascii="Arial" w:eastAsia="Times New Roman" w:hAnsi="Arial" w:cs="Arial"/>
                                        <w:color w:val="222222"/>
                                        <w:kern w:val="0"/>
                                        <w:sz w:val="20"/>
                                        <w:szCs w:val="20"/>
                                        <w:lang w:eastAsia="en-AU"/>
                                      </w:rPr>
                                    </w:pPr>
                                    <w:r w:rsidRPr="00A7606E">
                                      <w:rPr>
                                        <w:rFonts w:ascii="Arial" w:eastAsia="Times New Roman" w:hAnsi="Arial" w:cs="Arial"/>
                                        <w:color w:val="222222"/>
                                        <w:kern w:val="0"/>
                                        <w:sz w:val="20"/>
                                        <w:szCs w:val="20"/>
                                        <w:lang w:eastAsia="en-AU"/>
                                      </w:rPr>
                                      <w:t>Copyright © 2024 C4UNWN (Administered through World Federalist Movement - Canada). </w:t>
                                    </w:r>
                                  </w:p>
                                  <w:p w:rsidR="00A7606E" w:rsidRPr="00A7606E" w:rsidRDefault="00A7606E" w:rsidP="00A7606E">
                                    <w:pPr>
                                      <w:spacing w:after="0" w:line="270" w:lineRule="atLeast"/>
                                      <w:rPr>
                                        <w:rFonts w:ascii="Helvetica" w:eastAsia="Times New Roman" w:hAnsi="Helvetica" w:cs="Helvetica"/>
                                        <w:color w:val="222222"/>
                                        <w:kern w:val="0"/>
                                        <w:sz w:val="18"/>
                                        <w:szCs w:val="18"/>
                                        <w:lang w:eastAsia="en-AU"/>
                                      </w:rPr>
                                    </w:pPr>
                                    <w:r w:rsidRPr="00A7606E">
                                      <w:rPr>
                                        <w:rFonts w:ascii="Arial" w:eastAsia="Times New Roman" w:hAnsi="Arial" w:cs="Arial"/>
                                        <w:color w:val="222222"/>
                                        <w:kern w:val="0"/>
                                        <w:sz w:val="20"/>
                                        <w:szCs w:val="20"/>
                                        <w:lang w:eastAsia="en-AU"/>
                                      </w:rPr>
                                      <w:t>All rights reserved. </w:t>
                                    </w:r>
                                    <w:r w:rsidRPr="00A7606E">
                                      <w:rPr>
                                        <w:rFonts w:ascii="Arial" w:eastAsia="Times New Roman" w:hAnsi="Arial" w:cs="Arial"/>
                                        <w:color w:val="222222"/>
                                        <w:kern w:val="0"/>
                                        <w:sz w:val="20"/>
                                        <w:szCs w:val="20"/>
                                        <w:lang w:eastAsia="en-AU"/>
                                      </w:rPr>
                                      <w:br/>
                                    </w: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vanish/>
                            <w:kern w:val="0"/>
                            <w:sz w:val="24"/>
                            <w:szCs w:val="24"/>
                            <w:lang w:eastAsia="en-AU"/>
                          </w:rPr>
                        </w:pPr>
                      </w:p>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r w:rsidR="00A7606E" w:rsidRPr="00A7606E">
              <w:trPr>
                <w:jc w:val="center"/>
              </w:trPr>
              <w:tc>
                <w:tcPr>
                  <w:tcW w:w="0" w:type="auto"/>
                  <w:tcBorders>
                    <w:top w:val="nil"/>
                    <w:bottom w:val="nil"/>
                  </w:tcBorders>
                  <w:hideMark/>
                </w:tcPr>
                <w:tbl>
                  <w:tblPr>
                    <w:tblW w:w="9000" w:type="dxa"/>
                    <w:jc w:val="center"/>
                    <w:tblCellMar>
                      <w:left w:w="0" w:type="dxa"/>
                      <w:right w:w="0" w:type="dxa"/>
                    </w:tblCellMar>
                    <w:tblLook w:val="04A0"/>
                  </w:tblPr>
                  <w:tblGrid>
                    <w:gridCol w:w="9000"/>
                  </w:tblGrid>
                  <w:tr w:rsidR="00A7606E" w:rsidRPr="00A7606E">
                    <w:trPr>
                      <w:jc w:val="center"/>
                    </w:trPr>
                    <w:tc>
                      <w:tcPr>
                        <w:tcW w:w="0" w:type="auto"/>
                        <w:tcBorders>
                          <w:top w:val="nil"/>
                          <w:bottom w:val="nil"/>
                        </w:tcBorders>
                        <w:hideMark/>
                      </w:tcPr>
                      <w:tbl>
                        <w:tblPr>
                          <w:tblW w:w="5000" w:type="pct"/>
                          <w:tblCellMar>
                            <w:left w:w="0" w:type="dxa"/>
                            <w:right w:w="0" w:type="dxa"/>
                          </w:tblCellMar>
                          <w:tblLook w:val="04A0"/>
                        </w:tblPr>
                        <w:tblGrid>
                          <w:gridCol w:w="9000"/>
                        </w:tblGrid>
                        <w:tr w:rsidR="00A7606E" w:rsidRPr="00A7606E">
                          <w:tc>
                            <w:tcPr>
                              <w:tcW w:w="0" w:type="auto"/>
                              <w:tcMar>
                                <w:top w:w="135" w:type="dxa"/>
                                <w:left w:w="0" w:type="dxa"/>
                                <w:bottom w:w="0" w:type="dxa"/>
                                <w:right w:w="0" w:type="dxa"/>
                              </w:tcMar>
                              <w:hideMark/>
                            </w:tcPr>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7606E" w:rsidRPr="00A7606E" w:rsidRDefault="00A7606E" w:rsidP="00A7606E">
            <w:pPr>
              <w:spacing w:after="0" w:line="240" w:lineRule="auto"/>
              <w:rPr>
                <w:rFonts w:ascii="Times New Roman" w:eastAsia="Times New Roman" w:hAnsi="Times New Roman" w:cs="Times New Roman"/>
                <w:kern w:val="0"/>
                <w:sz w:val="24"/>
                <w:szCs w:val="24"/>
                <w:lang w:eastAsia="en-AU"/>
              </w:rPr>
            </w:pPr>
          </w:p>
        </w:tc>
      </w:tr>
    </w:tbl>
    <w:p w:rsidR="00A41592" w:rsidRDefault="00A41592" w:rsidP="00A7606E"/>
    <w:sectPr w:rsidR="00A41592" w:rsidSect="00F56E84">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7606E"/>
    <w:rsid w:val="00112F26"/>
    <w:rsid w:val="001B485D"/>
    <w:rsid w:val="00975EF7"/>
    <w:rsid w:val="00A41592"/>
    <w:rsid w:val="00A7606E"/>
    <w:rsid w:val="00C61650"/>
    <w:rsid w:val="00CD3CAE"/>
    <w:rsid w:val="00F31BDD"/>
    <w:rsid w:val="00F56E84"/>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26"/>
  </w:style>
  <w:style w:type="paragraph" w:styleId="Heading1">
    <w:name w:val="heading 1"/>
    <w:basedOn w:val="Normal"/>
    <w:next w:val="Normal"/>
    <w:link w:val="Heading1Char"/>
    <w:uiPriority w:val="9"/>
    <w:qFormat/>
    <w:rsid w:val="00A76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0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0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60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60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60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60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60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0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0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60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60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0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0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0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0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0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06E"/>
    <w:pPr>
      <w:spacing w:before="160"/>
      <w:jc w:val="center"/>
    </w:pPr>
    <w:rPr>
      <w:i/>
      <w:iCs/>
      <w:color w:val="404040" w:themeColor="text1" w:themeTint="BF"/>
    </w:rPr>
  </w:style>
  <w:style w:type="character" w:customStyle="1" w:styleId="QuoteChar">
    <w:name w:val="Quote Char"/>
    <w:basedOn w:val="DefaultParagraphFont"/>
    <w:link w:val="Quote"/>
    <w:uiPriority w:val="29"/>
    <w:rsid w:val="00A7606E"/>
    <w:rPr>
      <w:i/>
      <w:iCs/>
      <w:color w:val="404040" w:themeColor="text1" w:themeTint="BF"/>
    </w:rPr>
  </w:style>
  <w:style w:type="paragraph" w:styleId="ListParagraph">
    <w:name w:val="List Paragraph"/>
    <w:basedOn w:val="Normal"/>
    <w:uiPriority w:val="34"/>
    <w:qFormat/>
    <w:rsid w:val="00A7606E"/>
    <w:pPr>
      <w:ind w:left="720"/>
      <w:contextualSpacing/>
    </w:pPr>
  </w:style>
  <w:style w:type="character" w:styleId="IntenseEmphasis">
    <w:name w:val="Intense Emphasis"/>
    <w:basedOn w:val="DefaultParagraphFont"/>
    <w:uiPriority w:val="21"/>
    <w:qFormat/>
    <w:rsid w:val="00A7606E"/>
    <w:rPr>
      <w:i/>
      <w:iCs/>
      <w:color w:val="0F4761" w:themeColor="accent1" w:themeShade="BF"/>
    </w:rPr>
  </w:style>
  <w:style w:type="paragraph" w:styleId="IntenseQuote">
    <w:name w:val="Intense Quote"/>
    <w:basedOn w:val="Normal"/>
    <w:next w:val="Normal"/>
    <w:link w:val="IntenseQuoteChar"/>
    <w:uiPriority w:val="30"/>
    <w:qFormat/>
    <w:rsid w:val="00A76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06E"/>
    <w:rPr>
      <w:i/>
      <w:iCs/>
      <w:color w:val="0F4761" w:themeColor="accent1" w:themeShade="BF"/>
    </w:rPr>
  </w:style>
  <w:style w:type="character" w:styleId="IntenseReference">
    <w:name w:val="Intense Reference"/>
    <w:basedOn w:val="DefaultParagraphFont"/>
    <w:uiPriority w:val="32"/>
    <w:qFormat/>
    <w:rsid w:val="00A7606E"/>
    <w:rPr>
      <w:b/>
      <w:bCs/>
      <w:smallCaps/>
      <w:color w:val="0F4761" w:themeColor="accent1" w:themeShade="BF"/>
      <w:spacing w:val="5"/>
    </w:rPr>
  </w:style>
  <w:style w:type="paragraph" w:styleId="BalloonText">
    <w:name w:val="Balloon Text"/>
    <w:basedOn w:val="Normal"/>
    <w:link w:val="BalloonTextChar"/>
    <w:uiPriority w:val="99"/>
    <w:semiHidden/>
    <w:unhideWhenUsed/>
    <w:rsid w:val="00C6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428072">
      <w:bodyDiv w:val="1"/>
      <w:marLeft w:val="0"/>
      <w:marRight w:val="0"/>
      <w:marTop w:val="0"/>
      <w:marBottom w:val="0"/>
      <w:divBdr>
        <w:top w:val="none" w:sz="0" w:space="0" w:color="auto"/>
        <w:left w:val="none" w:sz="0" w:space="0" w:color="auto"/>
        <w:bottom w:val="none" w:sz="0" w:space="0" w:color="auto"/>
        <w:right w:val="none" w:sz="0" w:space="0" w:color="auto"/>
      </w:divBdr>
      <w:divsChild>
        <w:div w:id="2138183034">
          <w:marLeft w:val="0"/>
          <w:marRight w:val="0"/>
          <w:marTop w:val="0"/>
          <w:marBottom w:val="0"/>
          <w:divBdr>
            <w:top w:val="none" w:sz="0" w:space="0" w:color="auto"/>
            <w:left w:val="none" w:sz="0" w:space="0" w:color="auto"/>
            <w:bottom w:val="none" w:sz="0" w:space="0" w:color="auto"/>
            <w:right w:val="none" w:sz="0" w:space="0" w:color="auto"/>
          </w:divBdr>
        </w:div>
        <w:div w:id="207631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4unwn.us2.list-manage.com/track/click?u=58c42baf66eb872b48c3bc796&amp;id=4915d3e3cc&amp;e=33267c24c8"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4unwn.us2.list-manage.com/track/click?u=58c42baf66eb872b48c3bc796&amp;id=63191d24a2&amp;e=33267c24c8" TargetMode="External"/><Relationship Id="rId12" Type="http://schemas.openxmlformats.org/officeDocument/2006/relationships/image" Target="media/image5.jpeg"/><Relationship Id="rId17" Type="http://schemas.openxmlformats.org/officeDocument/2006/relationships/hyperlink" Target="https://c4unwn.us2.list-manage.com/track/click?u=58c42baf66eb872b48c3bc796&amp;id=2c99fa3a11&amp;e=33267c24c8"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4unwn.us2.list-manage.com/track/click?u=58c42baf66eb872b48c3bc796&amp;id=b5653d7870&amp;e=33267c24c8" TargetMode="External"/><Relationship Id="rId5" Type="http://schemas.openxmlformats.org/officeDocument/2006/relationships/hyperlink" Target="https://c4unwn.us2.list-manage.com/track/click?u=58c42baf66eb872b48c3bc796&amp;id=50802c0193&amp;e=33267c24c8" TargetMode="External"/><Relationship Id="rId15" Type="http://schemas.openxmlformats.org/officeDocument/2006/relationships/hyperlink" Target="https://c4unwn.us2.list-manage.com/track/click?u=58c42baf66eb872b48c3bc796&amp;id=8dd7397ade&amp;e=33267c24c8" TargetMode="External"/><Relationship Id="rId10" Type="http://schemas.openxmlformats.org/officeDocument/2006/relationships/image" Target="media/image4.jpeg"/><Relationship Id="rId19" Type="http://schemas.openxmlformats.org/officeDocument/2006/relationships/hyperlink" Target="https://c4unwn.us2.list-manage.com/track/click?u=58c42baf66eb872b48c3bc796&amp;id=c7875ca4f1&amp;e=33267c24c8" TargetMode="External"/><Relationship Id="rId4" Type="http://schemas.openxmlformats.org/officeDocument/2006/relationships/image" Target="media/image1.png"/><Relationship Id="rId9" Type="http://schemas.openxmlformats.org/officeDocument/2006/relationships/hyperlink" Target="https://c4unwn.us2.list-manage.com/track/click?u=58c42baf66eb872b48c3bc796&amp;id=8c5c143453&amp;e=33267c24c8"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Zeny Edwards</dc:creator>
  <cp:lastModifiedBy>Windows User</cp:lastModifiedBy>
  <cp:revision>2</cp:revision>
  <dcterms:created xsi:type="dcterms:W3CDTF">2024-09-19T09:03:00Z</dcterms:created>
  <dcterms:modified xsi:type="dcterms:W3CDTF">2024-09-19T09:03:00Z</dcterms:modified>
</cp:coreProperties>
</file>